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>
      <w:pPr>
        <w:pStyle w:val="pMsoNormal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 xml:space="preserve">ІНСТРУКЦІЯ </w:t>
      </w:r>
    </w:p>
    <w:p>
      <w:pPr>
        <w:pStyle w:val="pMsoNormal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 xml:space="preserve">для медичного </w:t>
      </w:r>
      <w:r>
        <w:rPr>
          <w:b/>
          <w:bCs/>
          <w:spacing w:val="2"/>
          <w:sz w:val="24"/>
          <w:szCs w:val="24"/>
          <w:lang w:val="uk" w:eastAsia="uk"/>
        </w:rPr>
        <w:t>застосування лікарського засобу</w:t>
      </w:r>
    </w:p>
    <w:p>
      <w:pPr>
        <w:pStyle w:val="pMsoNormal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>ОПТИЦЕФ</w:t>
      </w:r>
    </w:p>
    <w:p>
      <w:pPr>
        <w:pStyle w:val="pMsoNormal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>(OPTICEF)</w:t>
      </w:r>
    </w:p>
    <w:p>
      <w:pPr>
        <w:pStyle w:val="pMsoNormal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i/>
          <w:iCs/>
          <w:sz w:val="24"/>
          <w:szCs w:val="24"/>
          <w:lang w:val="uk" w:eastAsia="uk"/>
        </w:rPr>
        <w:t>Склад:</w:t>
      </w:r>
      <w:r>
        <w:rPr>
          <w:i/>
          <w:iCs/>
          <w:sz w:val="24"/>
          <w:szCs w:val="24"/>
          <w:lang w:val="uk" w:eastAsia="uk"/>
        </w:rPr>
        <w:t xml:space="preserve">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діюча речовина:</w:t>
      </w:r>
      <w:r>
        <w:rPr>
          <w:sz w:val="24"/>
          <w:szCs w:val="24"/>
          <w:lang w:val="uk" w:eastAsia="uk"/>
        </w:rPr>
        <w:t xml:space="preserve"> цефіксим;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1 таблетка, вкрита плівковою оболонкою, містить цефіксиму 400 мг (у формі цефіксиму тригідрату 447,630 мг)</w:t>
      </w:r>
      <w:r>
        <w:rPr>
          <w:spacing w:val="-4"/>
          <w:sz w:val="24"/>
          <w:szCs w:val="24"/>
          <w:lang w:val="uk" w:eastAsia="uk"/>
        </w:rPr>
        <w:t>;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допоміжні речовини:</w:t>
      </w:r>
      <w:r>
        <w:rPr>
          <w:sz w:val="24"/>
          <w:szCs w:val="24"/>
          <w:lang w:val="uk" w:eastAsia="uk"/>
        </w:rPr>
        <w:t xml:space="preserve"> </w:t>
      </w:r>
      <w:r>
        <w:rPr>
          <w:sz w:val="24"/>
          <w:szCs w:val="24"/>
          <w:lang w:val="uk" w:eastAsia="uk"/>
        </w:rPr>
        <w:t>целюлоза мікрокристалічна (тип 101), кальцію гідрофосфат дигідрат, крохмаль прежелатинізований, целюлоза мікрокристалічна (тип 102),</w:t>
      </w:r>
      <w:r>
        <w:rPr>
          <w:sz w:val="24"/>
          <w:szCs w:val="24"/>
          <w:lang w:val="uk" w:eastAsia="uk"/>
        </w:rPr>
        <w:t xml:space="preserve"> </w:t>
      </w:r>
      <w:r>
        <w:rPr>
          <w:sz w:val="24"/>
          <w:szCs w:val="24"/>
          <w:lang w:val="uk" w:eastAsia="uk"/>
        </w:rPr>
        <w:t>магнію стеарат;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плівкоутворююче покриття Opadry Y-1-7000 white:</w:t>
      </w:r>
      <w:r>
        <w:rPr>
          <w:sz w:val="24"/>
          <w:szCs w:val="24"/>
          <w:lang w:val="uk" w:eastAsia="uk"/>
        </w:rPr>
        <w:t xml:space="preserve"> гіпромелоза, макрогол/ПЕГ 400, титану діоксид</w:t>
      </w:r>
      <w:r>
        <w:rPr>
          <w:sz w:val="24"/>
          <w:szCs w:val="24"/>
          <w:lang w:val="uk" w:eastAsia="uk"/>
        </w:rPr>
        <w:t xml:space="preserve"> (Е 171).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>Лікарська форма.</w:t>
      </w:r>
      <w:r>
        <w:rPr>
          <w:sz w:val="24"/>
          <w:szCs w:val="24"/>
          <w:lang w:val="uk" w:eastAsia="uk"/>
        </w:rPr>
        <w:t xml:space="preserve"> Таблетки, вкриті плівковою оболонкою.</w:t>
      </w:r>
    </w:p>
    <w:p>
      <w:pPr>
        <w:pStyle w:val="p"/>
        <w:spacing w:before="150" w:after="150"/>
        <w:ind w:left="12" w:right="0"/>
        <w:rPr>
          <w:rFonts w:ascii="Verdana" w:eastAsia="Verdana" w:hAnsi="Verdana" w:cs="Verdana"/>
          <w:color w:val="000000"/>
          <w:sz w:val="15"/>
          <w:szCs w:val="15"/>
          <w:lang w:val="en-US" w:eastAsia="en-US"/>
        </w:rPr>
      </w:pPr>
      <w:r>
        <w:rPr>
          <w:i/>
          <w:iCs/>
          <w:lang w:val="uk" w:eastAsia="uk"/>
        </w:rPr>
        <w:t>Основні фізико-хімічні властивості:</w:t>
      </w:r>
      <w:r>
        <w:rPr>
          <w:lang w:val="uk" w:eastAsia="uk"/>
        </w:rPr>
        <w:t xml:space="preserve"> </w:t>
      </w:r>
      <w:r>
        <w:rPr>
          <w:lang w:val="uk" w:eastAsia="uk"/>
        </w:rPr>
        <w:t xml:space="preserve">довгасті двоопуклі таблетки, вкриті плівковою оболонкою від білого до світло-кремового кольору з рискою з однієї сторони. </w:t>
      </w:r>
    </w:p>
    <w:p>
      <w:pPr>
        <w:pStyle w:val="pMsoNormal"/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>Фармакотерапевтична група.</w:t>
      </w:r>
      <w:r>
        <w:rPr>
          <w:sz w:val="24"/>
          <w:szCs w:val="24"/>
          <w:lang w:val="uk" w:eastAsia="uk"/>
        </w:rPr>
        <w:t xml:space="preserve"> </w:t>
      </w:r>
      <w:r>
        <w:rPr>
          <w:sz w:val="24"/>
          <w:szCs w:val="24"/>
          <w:lang w:val="uk" w:eastAsia="uk"/>
        </w:rPr>
        <w:t>Антибактеріальні</w:t>
      </w:r>
      <w:r>
        <w:rPr>
          <w:b/>
          <w:bCs/>
          <w:sz w:val="24"/>
          <w:szCs w:val="24"/>
          <w:lang w:val="uk" w:eastAsia="uk"/>
        </w:rPr>
        <w:t xml:space="preserve"> </w:t>
      </w:r>
      <w:r>
        <w:rPr>
          <w:sz w:val="24"/>
          <w:szCs w:val="24"/>
          <w:lang w:val="uk" w:eastAsia="uk"/>
        </w:rPr>
        <w:t>засоби для системного застосування.</w:t>
      </w:r>
      <w:r>
        <w:rPr>
          <w:b/>
          <w:bCs/>
          <w:sz w:val="24"/>
          <w:szCs w:val="24"/>
          <w:lang w:val="uk" w:eastAsia="uk"/>
        </w:rPr>
        <w:t xml:space="preserve"> </w:t>
      </w:r>
      <w:r>
        <w:rPr>
          <w:sz w:val="24"/>
          <w:szCs w:val="24"/>
          <w:lang w:val="uk" w:eastAsia="uk"/>
        </w:rPr>
        <w:t>Бета-лактамні антибіотики.</w:t>
      </w:r>
      <w:r>
        <w:rPr>
          <w:b/>
          <w:bCs/>
          <w:sz w:val="24"/>
          <w:szCs w:val="24"/>
          <w:lang w:val="uk" w:eastAsia="uk"/>
        </w:rPr>
        <w:t xml:space="preserve"> </w:t>
      </w:r>
      <w:r>
        <w:rPr>
          <w:sz w:val="24"/>
          <w:szCs w:val="24"/>
          <w:lang w:val="uk" w:eastAsia="uk"/>
        </w:rPr>
        <w:t>Цефалоспорини третього покоління.</w:t>
      </w:r>
      <w:r>
        <w:rPr>
          <w:i/>
          <w:iCs/>
          <w:sz w:val="24"/>
          <w:szCs w:val="24"/>
          <w:lang w:val="uk" w:eastAsia="uk"/>
        </w:rPr>
        <w:t xml:space="preserve"> </w:t>
      </w:r>
      <w:r>
        <w:rPr>
          <w:sz w:val="24"/>
          <w:szCs w:val="24"/>
          <w:lang w:val="uk" w:eastAsia="uk"/>
        </w:rPr>
        <w:t xml:space="preserve">Код АТX J01D D08.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i/>
          <w:iCs/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i/>
          <w:iCs/>
          <w:sz w:val="24"/>
          <w:szCs w:val="24"/>
          <w:lang w:val="uk" w:eastAsia="uk"/>
        </w:rPr>
        <w:t>Фармакологічні властивості.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Фармакодинаміка</w:t>
      </w:r>
      <w:r>
        <w:rPr>
          <w:sz w:val="24"/>
          <w:szCs w:val="24"/>
          <w:lang w:val="uk" w:eastAsia="uk"/>
        </w:rPr>
        <w:t>.</w:t>
      </w:r>
      <w:r>
        <w:rPr>
          <w:i/>
          <w:iCs/>
          <w:sz w:val="24"/>
          <w:szCs w:val="24"/>
          <w:lang w:val="uk" w:eastAsia="uk"/>
        </w:rPr>
        <w:t xml:space="preserve">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Цефіксим – антибіотик групи цефалоспоринів III покоління для внутрішнього застосування. В умовах </w:t>
      </w:r>
      <w:r>
        <w:rPr>
          <w:i/>
          <w:iCs/>
          <w:sz w:val="24"/>
          <w:szCs w:val="24"/>
          <w:lang w:val="uk" w:eastAsia="uk"/>
        </w:rPr>
        <w:t>in vitro</w:t>
      </w:r>
      <w:r>
        <w:rPr>
          <w:sz w:val="24"/>
          <w:szCs w:val="24"/>
          <w:lang w:val="uk" w:eastAsia="uk"/>
        </w:rPr>
        <w:t xml:space="preserve"> має значну бактерицидну активність щодо широкого спектра грампозитивних і грамнегативних мікроорганізмів.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Клінічно ефективний при лікуванні інфекцій, спричинених найбільш частими патогенними мікроорганізмами, включаючи </w:t>
      </w:r>
      <w:r>
        <w:rPr>
          <w:i/>
          <w:iCs/>
          <w:sz w:val="24"/>
          <w:szCs w:val="24"/>
          <w:lang w:val="uk" w:eastAsia="uk"/>
        </w:rPr>
        <w:t>Streptococcus pneumoniae</w:t>
      </w:r>
      <w:r>
        <w:rPr>
          <w:sz w:val="24"/>
          <w:szCs w:val="24"/>
          <w:lang w:val="uk" w:eastAsia="uk"/>
        </w:rPr>
        <w:t>,</w:t>
      </w:r>
      <w:r>
        <w:rPr>
          <w:i/>
          <w:iCs/>
          <w:sz w:val="24"/>
          <w:szCs w:val="24"/>
          <w:lang w:val="uk" w:eastAsia="uk"/>
        </w:rPr>
        <w:t xml:space="preserve"> Streptococcus pyogenes</w:t>
      </w:r>
      <w:r>
        <w:rPr>
          <w:sz w:val="24"/>
          <w:szCs w:val="24"/>
          <w:lang w:val="uk" w:eastAsia="uk"/>
        </w:rPr>
        <w:t>,</w:t>
      </w:r>
      <w:r>
        <w:rPr>
          <w:i/>
          <w:iCs/>
          <w:sz w:val="24"/>
          <w:szCs w:val="24"/>
          <w:lang w:val="uk" w:eastAsia="uk"/>
        </w:rPr>
        <w:t xml:space="preserve"> E.coli</w:t>
      </w:r>
      <w:r>
        <w:rPr>
          <w:sz w:val="24"/>
          <w:szCs w:val="24"/>
          <w:lang w:val="uk" w:eastAsia="uk"/>
        </w:rPr>
        <w:t>,</w:t>
      </w:r>
      <w:r>
        <w:rPr>
          <w:i/>
          <w:iCs/>
          <w:sz w:val="24"/>
          <w:szCs w:val="24"/>
          <w:lang w:val="uk" w:eastAsia="uk"/>
        </w:rPr>
        <w:t xml:space="preserve"> Proteus mirabilis</w:t>
      </w:r>
      <w:r>
        <w:rPr>
          <w:sz w:val="24"/>
          <w:szCs w:val="24"/>
          <w:lang w:val="uk" w:eastAsia="uk"/>
        </w:rPr>
        <w:t>,</w:t>
      </w:r>
      <w:r>
        <w:rPr>
          <w:i/>
          <w:iCs/>
          <w:sz w:val="24"/>
          <w:szCs w:val="24"/>
          <w:lang w:val="uk" w:eastAsia="uk"/>
        </w:rPr>
        <w:t xml:space="preserve"> Klebsiella species</w:t>
      </w:r>
      <w:r>
        <w:rPr>
          <w:sz w:val="24"/>
          <w:szCs w:val="24"/>
          <w:lang w:val="uk" w:eastAsia="uk"/>
        </w:rPr>
        <w:t>,</w:t>
      </w:r>
      <w:r>
        <w:rPr>
          <w:i/>
          <w:iCs/>
          <w:sz w:val="24"/>
          <w:szCs w:val="24"/>
          <w:lang w:val="uk" w:eastAsia="uk"/>
        </w:rPr>
        <w:t xml:space="preserve"> Haemophilus influenzae</w:t>
      </w:r>
      <w:r>
        <w:rPr>
          <w:sz w:val="24"/>
          <w:szCs w:val="24"/>
          <w:lang w:val="uk" w:eastAsia="uk"/>
        </w:rPr>
        <w:t xml:space="preserve"> (бета-лактамази – позитивні і негативні), </w:t>
      </w:r>
      <w:r>
        <w:rPr>
          <w:i/>
          <w:iCs/>
          <w:sz w:val="24"/>
          <w:szCs w:val="24"/>
          <w:lang w:val="uk" w:eastAsia="uk"/>
        </w:rPr>
        <w:t>Branhamella catarrhalis</w:t>
      </w:r>
      <w:r>
        <w:rPr>
          <w:sz w:val="24"/>
          <w:szCs w:val="24"/>
          <w:lang w:val="uk" w:eastAsia="uk"/>
        </w:rPr>
        <w:t xml:space="preserve"> (бета-лактамази – позитивні і негативні) і </w:t>
      </w:r>
      <w:r>
        <w:rPr>
          <w:i/>
          <w:iCs/>
          <w:sz w:val="24"/>
          <w:szCs w:val="24"/>
          <w:lang w:val="uk" w:eastAsia="uk"/>
        </w:rPr>
        <w:t>Enterobacter species.</w:t>
      </w:r>
      <w:r>
        <w:rPr>
          <w:sz w:val="24"/>
          <w:szCs w:val="24"/>
          <w:lang w:val="uk" w:eastAsia="uk"/>
        </w:rPr>
        <w:t xml:space="preserve"> Має високий ступінь стабільності при наявності бета-лактамаз.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Більшість штамів ентерококів </w:t>
      </w:r>
      <w:r>
        <w:rPr>
          <w:i/>
          <w:iCs/>
          <w:sz w:val="24"/>
          <w:szCs w:val="24"/>
          <w:lang w:val="uk" w:eastAsia="uk"/>
        </w:rPr>
        <w:t>(Streptococcus faecalis</w:t>
      </w:r>
      <w:r>
        <w:rPr>
          <w:sz w:val="24"/>
          <w:szCs w:val="24"/>
          <w:lang w:val="uk" w:eastAsia="uk"/>
        </w:rPr>
        <w:t>,</w:t>
      </w:r>
      <w:r>
        <w:rPr>
          <w:i/>
          <w:iCs/>
          <w:sz w:val="24"/>
          <w:szCs w:val="24"/>
          <w:lang w:val="uk" w:eastAsia="uk"/>
        </w:rPr>
        <w:t xml:space="preserve"> Streptococci групи D) </w:t>
      </w:r>
      <w:r>
        <w:rPr>
          <w:sz w:val="24"/>
          <w:szCs w:val="24"/>
          <w:lang w:val="uk" w:eastAsia="uk"/>
        </w:rPr>
        <w:t>і</w:t>
      </w:r>
      <w:r>
        <w:rPr>
          <w:i/>
          <w:iCs/>
          <w:sz w:val="24"/>
          <w:szCs w:val="24"/>
          <w:lang w:val="uk" w:eastAsia="uk"/>
        </w:rPr>
        <w:t xml:space="preserve"> Staphylococci</w:t>
      </w:r>
      <w:r>
        <w:rPr>
          <w:sz w:val="24"/>
          <w:szCs w:val="24"/>
          <w:lang w:val="uk" w:eastAsia="uk"/>
        </w:rPr>
        <w:t xml:space="preserve"> (зокрема коагулазопозитивні, коагулазонегативні і метициліностійкі штами) стійкі до цефіксиму. Крім того, більшість штамів </w:t>
      </w:r>
      <w:r>
        <w:rPr>
          <w:i/>
          <w:iCs/>
          <w:sz w:val="24"/>
          <w:szCs w:val="24"/>
          <w:lang w:val="uk" w:eastAsia="uk"/>
        </w:rPr>
        <w:t>Pseudomonas</w:t>
      </w:r>
      <w:r>
        <w:rPr>
          <w:sz w:val="24"/>
          <w:szCs w:val="24"/>
          <w:lang w:val="uk" w:eastAsia="uk"/>
        </w:rPr>
        <w:t>,</w:t>
      </w:r>
      <w:r>
        <w:rPr>
          <w:i/>
          <w:iCs/>
          <w:sz w:val="24"/>
          <w:szCs w:val="24"/>
          <w:lang w:val="uk" w:eastAsia="uk"/>
        </w:rPr>
        <w:t xml:space="preserve"> Bacteroides fragilis</w:t>
      </w:r>
      <w:r>
        <w:rPr>
          <w:sz w:val="24"/>
          <w:szCs w:val="24"/>
          <w:lang w:val="uk" w:eastAsia="uk"/>
        </w:rPr>
        <w:t>,</w:t>
      </w:r>
      <w:r>
        <w:rPr>
          <w:i/>
          <w:iCs/>
          <w:sz w:val="24"/>
          <w:szCs w:val="24"/>
          <w:lang w:val="uk" w:eastAsia="uk"/>
        </w:rPr>
        <w:t xml:space="preserve"> Listeria monocytogenes </w:t>
      </w:r>
      <w:r>
        <w:rPr>
          <w:sz w:val="24"/>
          <w:szCs w:val="24"/>
          <w:lang w:val="uk" w:eastAsia="uk"/>
        </w:rPr>
        <w:t xml:space="preserve">і </w:t>
      </w:r>
      <w:r>
        <w:rPr>
          <w:i/>
          <w:iCs/>
          <w:sz w:val="24"/>
          <w:szCs w:val="24"/>
          <w:lang w:val="uk" w:eastAsia="uk"/>
        </w:rPr>
        <w:t>Clostridia</w:t>
      </w:r>
      <w:r>
        <w:rPr>
          <w:sz w:val="24"/>
          <w:szCs w:val="24"/>
          <w:lang w:val="uk" w:eastAsia="uk"/>
        </w:rPr>
        <w:t xml:space="preserve"> стійкі до цефіксиму.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Фармакокінетика.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Всмоктування.</w:t>
      </w:r>
      <w:r>
        <w:rPr>
          <w:sz w:val="24"/>
          <w:szCs w:val="24"/>
          <w:lang w:val="uk" w:eastAsia="uk"/>
        </w:rPr>
        <w:t xml:space="preserve"> Абсолютна біодоступність після перорального застосування цефіксиму становить 22-54 %. Оскільки наявність їжі значно не впливає на всмоктування, цефіксим можна призначати незалежно від вживання їжі. Максимальний рівень у сироватці крові після прийому рекомендованих доз для дорослих або дітей становить від 1,5 до 3 мкг/мл. При повторному дозуванні можливе незначне накопичення цефіксиму.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Розподіл.</w:t>
      </w:r>
      <w:r>
        <w:rPr>
          <w:sz w:val="24"/>
          <w:szCs w:val="24"/>
          <w:lang w:val="uk" w:eastAsia="uk"/>
        </w:rPr>
        <w:t xml:space="preserve"> Цефіксим майже повністю зв</w:t>
      </w:r>
      <w:r>
        <w:rPr>
          <w:sz w:val="24"/>
          <w:szCs w:val="24"/>
          <w:lang w:val="uk" w:eastAsia="uk"/>
        </w:rPr>
        <w:t>’</w:t>
      </w:r>
      <w:r>
        <w:rPr>
          <w:sz w:val="24"/>
          <w:szCs w:val="24"/>
          <w:lang w:val="uk" w:eastAsia="uk"/>
        </w:rPr>
        <w:t>язується із фракцією альбуміну, середня вільна фракція становить приблизно 30 %.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Метаболізм.</w:t>
      </w:r>
      <w:r>
        <w:rPr>
          <w:sz w:val="24"/>
          <w:szCs w:val="24"/>
          <w:lang w:val="uk" w:eastAsia="uk"/>
        </w:rPr>
        <w:t xml:space="preserve"> Метаболіти цефіксиму не були ізольовані із сироватки крові або сечі людини.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Виведення.</w:t>
      </w:r>
      <w:r>
        <w:rPr>
          <w:sz w:val="24"/>
          <w:szCs w:val="24"/>
          <w:lang w:val="uk" w:eastAsia="uk"/>
        </w:rPr>
        <w:t xml:space="preserve"> Цефіксим виводиться в основному в незміненому вигляді із сечею. Переважаючим</w:t>
      </w:r>
      <w:r>
        <w:rPr>
          <w:sz w:val="24"/>
          <w:szCs w:val="24"/>
          <w:lang w:val="uk" w:eastAsia="uk"/>
        </w:rPr>
        <w:t xml:space="preserve"> </w:t>
      </w:r>
      <w:r>
        <w:rPr>
          <w:sz w:val="24"/>
          <w:szCs w:val="24"/>
          <w:lang w:val="uk" w:eastAsia="uk"/>
        </w:rPr>
        <w:t>механізмом є клубочкова фільтрація.</w:t>
      </w:r>
      <w:r>
        <w:rPr>
          <w:sz w:val="24"/>
          <w:szCs w:val="24"/>
          <w:lang w:val="ru" w:eastAsia="ru"/>
        </w:rPr>
        <w:t xml:space="preserve">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Немає даних про проникнення цефіксиму у грудне молоко.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>Клінічні характеристики.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i/>
          <w:iCs/>
          <w:sz w:val="24"/>
          <w:szCs w:val="24"/>
          <w:lang w:val="uk" w:eastAsia="uk"/>
        </w:rPr>
        <w:t>Показання.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Інфекційно-запальні захворювання, спричинені чутливими до препарату мікроорганізмами</w:t>
      </w:r>
      <w:r>
        <w:rPr>
          <w:sz w:val="24"/>
          <w:szCs w:val="24"/>
          <w:lang w:val="uk" w:eastAsia="uk"/>
        </w:rPr>
        <w:t>: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- інфекції верхніх дихальних шляхів (у тому числі запалення середнього вуха)</w:t>
      </w:r>
      <w:r>
        <w:rPr>
          <w:sz w:val="24"/>
          <w:szCs w:val="24"/>
          <w:lang w:val="uk" w:eastAsia="uk"/>
        </w:rPr>
        <w:t xml:space="preserve"> та інші інфекції верхніх дихальних шляхів (</w:t>
      </w:r>
      <w:r>
        <w:rPr>
          <w:sz w:val="24"/>
          <w:szCs w:val="24"/>
          <w:lang w:val="uk" w:eastAsia="uk"/>
        </w:rPr>
        <w:t xml:space="preserve">синусит, фарингіт, тонзиліт бактерійної етіології) </w:t>
      </w:r>
      <w:r>
        <w:rPr>
          <w:sz w:val="24"/>
          <w:szCs w:val="24"/>
          <w:lang w:val="uk" w:eastAsia="uk"/>
        </w:rPr>
        <w:t>у випадку відомої або підозрюваної стійкості збудника до інших часто використовуваних антибіотиків, або в разі ризику неефективності лікування;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 </w:t>
      </w:r>
      <w:r>
        <w:rPr>
          <w:sz w:val="24"/>
          <w:szCs w:val="24"/>
          <w:lang w:val="uk" w:eastAsia="uk"/>
        </w:rPr>
        <w:t xml:space="preserve">- інфекції нижніх дихальних шляхів (у тому числі гострий бронхіт і загострення хронічного бронхіту);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- інфекції сечовивідних шляхів (у тому числі цистит, цистоуретрит, </w:t>
      </w:r>
      <w:r>
        <w:rPr>
          <w:sz w:val="24"/>
          <w:szCs w:val="24"/>
          <w:lang w:val="uk" w:eastAsia="uk"/>
        </w:rPr>
        <w:t xml:space="preserve">неускладнений </w:t>
      </w:r>
      <w:r>
        <w:rPr>
          <w:sz w:val="24"/>
          <w:szCs w:val="24"/>
          <w:lang w:val="uk" w:eastAsia="uk"/>
        </w:rPr>
        <w:t>пієлонефрит).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Клінічно ефективний при лікуванні інфекцій, спричинених найбільш частими патогенними мікроорганізмами, включаючи </w:t>
      </w:r>
      <w:r>
        <w:rPr>
          <w:i/>
          <w:iCs/>
          <w:sz w:val="24"/>
          <w:szCs w:val="24"/>
          <w:lang w:val="uk" w:eastAsia="uk"/>
        </w:rPr>
        <w:t>Streptococcus pneumoniae</w:t>
      </w:r>
      <w:r>
        <w:rPr>
          <w:sz w:val="24"/>
          <w:szCs w:val="24"/>
          <w:lang w:val="uk" w:eastAsia="uk"/>
        </w:rPr>
        <w:t>,</w:t>
      </w:r>
      <w:r>
        <w:rPr>
          <w:i/>
          <w:iCs/>
          <w:sz w:val="24"/>
          <w:szCs w:val="24"/>
          <w:lang w:val="uk" w:eastAsia="uk"/>
        </w:rPr>
        <w:t xml:space="preserve"> Streptococcus pyogenes</w:t>
      </w:r>
      <w:r>
        <w:rPr>
          <w:sz w:val="24"/>
          <w:szCs w:val="24"/>
          <w:lang w:val="uk" w:eastAsia="uk"/>
        </w:rPr>
        <w:t>,</w:t>
      </w:r>
      <w:r>
        <w:rPr>
          <w:i/>
          <w:iCs/>
          <w:sz w:val="24"/>
          <w:szCs w:val="24"/>
          <w:lang w:val="uk" w:eastAsia="uk"/>
        </w:rPr>
        <w:t xml:space="preserve"> E.coli</w:t>
      </w:r>
      <w:r>
        <w:rPr>
          <w:sz w:val="24"/>
          <w:szCs w:val="24"/>
          <w:lang w:val="uk" w:eastAsia="uk"/>
        </w:rPr>
        <w:t>,</w:t>
      </w:r>
      <w:r>
        <w:rPr>
          <w:i/>
          <w:iCs/>
          <w:sz w:val="24"/>
          <w:szCs w:val="24"/>
          <w:lang w:val="uk" w:eastAsia="uk"/>
        </w:rPr>
        <w:t xml:space="preserve"> Proteus mirabilis</w:t>
      </w:r>
      <w:r>
        <w:rPr>
          <w:sz w:val="24"/>
          <w:szCs w:val="24"/>
          <w:lang w:val="uk" w:eastAsia="uk"/>
        </w:rPr>
        <w:t>,</w:t>
      </w:r>
      <w:r>
        <w:rPr>
          <w:i/>
          <w:iCs/>
          <w:sz w:val="24"/>
          <w:szCs w:val="24"/>
          <w:lang w:val="uk" w:eastAsia="uk"/>
        </w:rPr>
        <w:t xml:space="preserve"> Klebsiella species</w:t>
      </w:r>
      <w:r>
        <w:rPr>
          <w:sz w:val="24"/>
          <w:szCs w:val="24"/>
          <w:lang w:val="uk" w:eastAsia="uk"/>
        </w:rPr>
        <w:t>,</w:t>
      </w:r>
      <w:r>
        <w:rPr>
          <w:i/>
          <w:iCs/>
          <w:sz w:val="24"/>
          <w:szCs w:val="24"/>
          <w:lang w:val="uk" w:eastAsia="uk"/>
        </w:rPr>
        <w:t xml:space="preserve"> Haemophilus influenzae </w:t>
      </w:r>
      <w:r>
        <w:rPr>
          <w:sz w:val="24"/>
          <w:szCs w:val="24"/>
          <w:lang w:val="uk" w:eastAsia="uk"/>
        </w:rPr>
        <w:t xml:space="preserve">(бета-лактамази – позитивні і негативні), </w:t>
      </w:r>
      <w:r>
        <w:rPr>
          <w:i/>
          <w:iCs/>
          <w:sz w:val="24"/>
          <w:szCs w:val="24"/>
          <w:lang w:val="uk" w:eastAsia="uk"/>
        </w:rPr>
        <w:t>Branhamella catarrhalis</w:t>
      </w:r>
      <w:r>
        <w:rPr>
          <w:sz w:val="24"/>
          <w:szCs w:val="24"/>
          <w:lang w:val="uk" w:eastAsia="uk"/>
        </w:rPr>
        <w:t xml:space="preserve"> (бета-лактамази – позитивні і негативні) і </w:t>
      </w:r>
      <w:r>
        <w:rPr>
          <w:i/>
          <w:iCs/>
          <w:sz w:val="24"/>
          <w:szCs w:val="24"/>
          <w:lang w:val="uk" w:eastAsia="uk"/>
        </w:rPr>
        <w:t>Enterobacter</w:t>
      </w:r>
      <w:r>
        <w:rPr>
          <w:sz w:val="24"/>
          <w:szCs w:val="24"/>
          <w:lang w:val="uk" w:eastAsia="uk"/>
        </w:rPr>
        <w:t xml:space="preserve"> </w:t>
      </w:r>
      <w:r>
        <w:rPr>
          <w:i/>
          <w:iCs/>
          <w:sz w:val="24"/>
          <w:szCs w:val="24"/>
          <w:lang w:val="uk" w:eastAsia="uk"/>
        </w:rPr>
        <w:t>species</w:t>
      </w:r>
      <w:r>
        <w:rPr>
          <w:sz w:val="24"/>
          <w:szCs w:val="24"/>
          <w:lang w:val="uk" w:eastAsia="uk"/>
        </w:rPr>
        <w:t>. Має високий ступінь стабільності при наявності бета-лактамаз.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Більшість штамів ентерококів (</w:t>
      </w:r>
      <w:r>
        <w:rPr>
          <w:i/>
          <w:iCs/>
          <w:sz w:val="24"/>
          <w:szCs w:val="24"/>
          <w:lang w:val="uk" w:eastAsia="uk"/>
        </w:rPr>
        <w:t>Streptococcus faecalis</w:t>
      </w:r>
      <w:r>
        <w:rPr>
          <w:sz w:val="24"/>
          <w:szCs w:val="24"/>
          <w:lang w:val="uk" w:eastAsia="uk"/>
        </w:rPr>
        <w:t>,</w:t>
      </w:r>
      <w:r>
        <w:rPr>
          <w:i/>
          <w:iCs/>
          <w:sz w:val="24"/>
          <w:szCs w:val="24"/>
          <w:lang w:val="uk" w:eastAsia="uk"/>
        </w:rPr>
        <w:t xml:space="preserve"> Streptococci групи D) </w:t>
      </w:r>
      <w:r>
        <w:rPr>
          <w:sz w:val="24"/>
          <w:szCs w:val="24"/>
          <w:lang w:val="uk" w:eastAsia="uk"/>
        </w:rPr>
        <w:t xml:space="preserve">і </w:t>
      </w:r>
      <w:r>
        <w:rPr>
          <w:i/>
          <w:iCs/>
          <w:sz w:val="24"/>
          <w:szCs w:val="24"/>
          <w:lang w:val="uk" w:eastAsia="uk"/>
        </w:rPr>
        <w:t>Staphylococci</w:t>
      </w:r>
      <w:r>
        <w:rPr>
          <w:sz w:val="24"/>
          <w:szCs w:val="24"/>
          <w:lang w:val="uk" w:eastAsia="uk"/>
        </w:rPr>
        <w:t xml:space="preserve"> (зокрема коагулазопозитивні, коагулазонегативні і метициліностійкі штами) стійкі до цефіксиму. Крім того, більшість штамів </w:t>
      </w:r>
      <w:r>
        <w:rPr>
          <w:i/>
          <w:iCs/>
          <w:sz w:val="24"/>
          <w:szCs w:val="24"/>
          <w:lang w:val="uk" w:eastAsia="uk"/>
        </w:rPr>
        <w:t>Pseudomonas</w:t>
      </w:r>
      <w:r>
        <w:rPr>
          <w:sz w:val="24"/>
          <w:szCs w:val="24"/>
          <w:lang w:val="uk" w:eastAsia="uk"/>
        </w:rPr>
        <w:t>,</w:t>
      </w:r>
      <w:r>
        <w:rPr>
          <w:i/>
          <w:iCs/>
          <w:sz w:val="24"/>
          <w:szCs w:val="24"/>
          <w:lang w:val="uk" w:eastAsia="uk"/>
        </w:rPr>
        <w:t xml:space="preserve"> Bacteroides fragilis</w:t>
      </w:r>
      <w:r>
        <w:rPr>
          <w:sz w:val="24"/>
          <w:szCs w:val="24"/>
          <w:lang w:val="uk" w:eastAsia="uk"/>
        </w:rPr>
        <w:t>,</w:t>
      </w:r>
      <w:r>
        <w:rPr>
          <w:i/>
          <w:iCs/>
          <w:sz w:val="24"/>
          <w:szCs w:val="24"/>
          <w:lang w:val="uk" w:eastAsia="uk"/>
        </w:rPr>
        <w:t xml:space="preserve"> Listeria monocytogenes </w:t>
      </w:r>
      <w:r>
        <w:rPr>
          <w:sz w:val="24"/>
          <w:szCs w:val="24"/>
          <w:lang w:val="uk" w:eastAsia="uk"/>
        </w:rPr>
        <w:t xml:space="preserve">і </w:t>
      </w:r>
      <w:r>
        <w:rPr>
          <w:i/>
          <w:iCs/>
          <w:sz w:val="24"/>
          <w:szCs w:val="24"/>
          <w:lang w:val="uk" w:eastAsia="uk"/>
        </w:rPr>
        <w:t>Clostridia</w:t>
      </w:r>
      <w:r>
        <w:rPr>
          <w:sz w:val="24"/>
          <w:szCs w:val="24"/>
          <w:lang w:val="uk" w:eastAsia="uk"/>
        </w:rPr>
        <w:t xml:space="preserve"> стійкі до цефіксиму.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i/>
          <w:iCs/>
          <w:sz w:val="24"/>
          <w:szCs w:val="24"/>
          <w:lang w:val="uk" w:eastAsia="uk"/>
        </w:rPr>
        <w:t>Протипоказання.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Підтверджена гіперчутливість до антибіотиків групи цефалоспоринів або до інших компонентів препарату; гіперчутливість до пеніцилінів; порфірія.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i/>
          <w:iCs/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i/>
          <w:iCs/>
          <w:sz w:val="24"/>
          <w:szCs w:val="24"/>
          <w:lang w:val="uk" w:eastAsia="uk"/>
        </w:rPr>
        <w:t>Взаємодія з іншими лікарськими засобами та інші види взаємодій.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Блокатори канальцевої секреції (алопуринол, пробенецид, діуретики та інші) підвищують максимальну концентрацію цефіксиму в сироватці крові, сповільнюючи виведення цефіксиму нирками, що може призвести до симптомів передозування.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Саліцилова кислота підвищує вільний цефіксим на 50 % внаслідок переміщення цефіксиму з місць зв’язування з протеїнами; цей ефект залежний від концентрації.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Супутнє застосування з карбамазепіном може спричиняти підвищення його концентрації у плазмі крові, тому доцільно контролювати рівень карбамазепіну у плазмі крові.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При комбінованому застосуванні цефіксиму з потенційно нефротоксичними речовинами (аміноглікозидами, колістином, поліміксином, віоміцином) або сильнодіючими діуретиками (етакриновою кислотою, фуросемідом) існує підвищений ризик розвитку ниркової недостатності.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Ніфедипін підвищує біодоступність, але клінічна взаємодія не визначена.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Потенційно, подібно до інших антибіотиків, при застосуванні препарату може виникати зниження ефективності комбінованих пероральних контрацептивів.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Антациди, які містять магнію або алюмінію гідроксид, сповільнюють всмоктування препарату.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Як і при застосуванні інших цефалоспоринів, збільшення протромбінового часу було зареєстровано у деяких пацієнтів, тому слід дотримуватися обережності пацієнтам, які отримують антикоагулянтну терапію.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Цефіксим слід застосовувати з обережністю пацієнтам, які отримують антикоагулянти типу кумарину, наприклад варфарин калію. Оскільки цефіксим може посилювати ефекти антикоагулянтів, можливе збільшення протромбінового часу з/без клінічних проявів кровотеч.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Під час лікування цефіксимом можлива хибнопозитивна пряма реакція Кумбса і хибнопозитивна реакція на глюкозу в сечі при застосуванні </w:t>
      </w:r>
      <w:r>
        <w:rPr>
          <w:sz w:val="24"/>
          <w:szCs w:val="24"/>
          <w:lang w:val="uk" w:eastAsia="uk"/>
        </w:rPr>
        <w:t>таблеток</w:t>
      </w:r>
      <w:r>
        <w:rPr>
          <w:sz w:val="24"/>
          <w:szCs w:val="24"/>
          <w:lang w:val="uk" w:eastAsia="uk"/>
        </w:rPr>
        <w:t xml:space="preserve"> із </w:t>
      </w:r>
      <w:r>
        <w:rPr>
          <w:sz w:val="24"/>
          <w:szCs w:val="24"/>
          <w:lang w:val="uk" w:eastAsia="uk"/>
        </w:rPr>
        <w:t>сульфатом</w:t>
      </w:r>
      <w:r>
        <w:rPr>
          <w:sz w:val="24"/>
          <w:szCs w:val="24"/>
          <w:lang w:val="uk" w:eastAsia="uk"/>
        </w:rPr>
        <w:t xml:space="preserve"> </w:t>
      </w:r>
      <w:r>
        <w:rPr>
          <w:sz w:val="24"/>
          <w:szCs w:val="24"/>
          <w:lang w:val="uk" w:eastAsia="uk"/>
        </w:rPr>
        <w:t>міді</w:t>
      </w:r>
      <w:r>
        <w:rPr>
          <w:sz w:val="24"/>
          <w:szCs w:val="24"/>
          <w:lang w:val="uk" w:eastAsia="uk"/>
        </w:rPr>
        <w:t xml:space="preserve">, розчинів Бенедикта або Фелінга. Для визначення глюкози в сечі рекомендується використовувати глюкозооксидазний тест.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i/>
          <w:iCs/>
          <w:sz w:val="24"/>
          <w:szCs w:val="24"/>
          <w:lang w:val="uk" w:eastAsia="uk"/>
        </w:rPr>
        <w:t>Особливості застосування.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Бета-лактами, включаючи цефіксим, збільшують у пацієнтів ризик енцефалопатії (що може включати судоми, сплутаність свідомості, рухові розлади, порушення свідомості), особливо у випадках передозування та ниркової недостатності.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Тяжкі шкірні побічні реакції, такі як токсичний епідермальний некроліз, синдром Стівенса-Джонсона, медикаментозне висипання з еозинофілією і системними проявами (DRESS-синдром) були зареєстровані у деяких пацієнтів при застосуванні цефіксиму. При виникненні тяжких шкірних побічних реакцій застосування цефіксиму слід припинити і призначити відповідне лікування.</w:t>
      </w:r>
    </w:p>
    <w:p>
      <w:pPr>
        <w:pStyle w:val="pMsoNormal"/>
        <w:shd w:val="clear" w:color="auto" w:fill="FFFFFF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Перед застосуванням цефіксиму необхідно ретельно оцінити анамнез пацієнтів щодо наявності у них реакцій гіперчутливості на пеніциліни та цефалоспорини або на інші лікарські засоби. </w:t>
      </w:r>
    </w:p>
    <w:p>
      <w:pPr>
        <w:pStyle w:val="pMsoNormal"/>
        <w:keepNext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Цефіксим </w:t>
      </w:r>
      <w:r>
        <w:rPr>
          <w:sz w:val="24"/>
          <w:szCs w:val="24"/>
          <w:lang w:val="uk" w:eastAsia="uk"/>
        </w:rPr>
        <w:t xml:space="preserve">слід з обережністю застосовувати пацієнтам з алергічними реакціями на пеніциліни. </w:t>
      </w:r>
      <w:r>
        <w:rPr>
          <w:sz w:val="24"/>
          <w:szCs w:val="24"/>
          <w:lang w:val="uk" w:eastAsia="uk"/>
        </w:rPr>
        <w:t> </w:t>
      </w:r>
      <w:r>
        <w:rPr>
          <w:sz w:val="24"/>
          <w:szCs w:val="24"/>
          <w:lang w:val="uk" w:eastAsia="uk"/>
        </w:rPr>
        <w:t xml:space="preserve">У дослідженнях як </w:t>
      </w:r>
      <w:r>
        <w:rPr>
          <w:i/>
          <w:iCs/>
          <w:sz w:val="24"/>
          <w:szCs w:val="24"/>
          <w:lang w:val="en-US" w:eastAsia="en-US"/>
        </w:rPr>
        <w:t>in</w:t>
      </w:r>
      <w:r>
        <w:rPr>
          <w:i/>
          <w:iCs/>
          <w:sz w:val="24"/>
          <w:szCs w:val="24"/>
          <w:lang w:val="en-US" w:eastAsia="en-US"/>
        </w:rPr>
        <w:t xml:space="preserve"> </w:t>
      </w:r>
      <w:r>
        <w:rPr>
          <w:i/>
          <w:iCs/>
          <w:sz w:val="24"/>
          <w:szCs w:val="24"/>
          <w:lang w:val="en-US" w:eastAsia="en-US"/>
        </w:rPr>
        <w:t>vivo</w:t>
      </w:r>
      <w:r>
        <w:rPr>
          <w:sz w:val="24"/>
          <w:szCs w:val="24"/>
          <w:lang w:val="uk" w:eastAsia="uk"/>
        </w:rPr>
        <w:t xml:space="preserve"> (в організмі людини), так і </w:t>
      </w:r>
      <w:r>
        <w:rPr>
          <w:i/>
          <w:iCs/>
          <w:sz w:val="24"/>
          <w:szCs w:val="24"/>
          <w:lang w:val="en-US" w:eastAsia="en-US"/>
        </w:rPr>
        <w:t>in</w:t>
      </w:r>
      <w:r>
        <w:rPr>
          <w:i/>
          <w:iCs/>
          <w:sz w:val="24"/>
          <w:szCs w:val="24"/>
          <w:lang w:val="en-US" w:eastAsia="en-US"/>
        </w:rPr>
        <w:t xml:space="preserve"> </w:t>
      </w:r>
      <w:r>
        <w:rPr>
          <w:i/>
          <w:iCs/>
          <w:sz w:val="24"/>
          <w:szCs w:val="24"/>
          <w:lang w:val="en-US" w:eastAsia="en-US"/>
        </w:rPr>
        <w:t>vitro</w:t>
      </w:r>
      <w:r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uk" w:eastAsia="uk"/>
        </w:rPr>
        <w:t>встановлено наявність перехресних алергічних реакцій між пеніцилінами та цефалоспоринами.</w:t>
      </w:r>
      <w:r>
        <w:rPr>
          <w:sz w:val="24"/>
          <w:szCs w:val="24"/>
          <w:lang w:val="uk" w:eastAsia="uk"/>
        </w:rPr>
        <w:t xml:space="preserve"> </w:t>
      </w:r>
      <w:r>
        <w:rPr>
          <w:sz w:val="24"/>
          <w:szCs w:val="24"/>
          <w:lang w:val="ru" w:eastAsia="ru"/>
        </w:rPr>
        <w:t xml:space="preserve">Дані випадки реєструвалися рідко, виникали за анафілактичним типом, особливо після парентерального застосування. </w:t>
      </w:r>
    </w:p>
    <w:p>
      <w:pPr>
        <w:pStyle w:val="pMsoNormal"/>
        <w:shd w:val="clear" w:color="auto" w:fill="FFFFFF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Антибіотики слід з обережністю застосовувати пацієнтам із наявністю в анамнезі будь-яких форм реакцій гіперчутливості, особливо після застосування лікарських засобів. </w:t>
      </w:r>
      <w:r>
        <w:rPr>
          <w:sz w:val="24"/>
          <w:szCs w:val="24"/>
          <w:lang w:val="ru" w:eastAsia="ru"/>
        </w:rPr>
        <w:t>При виникненні алергічної реакції застосування препарату слід негайно припинити</w:t>
      </w:r>
      <w:r>
        <w:rPr>
          <w:sz w:val="24"/>
          <w:szCs w:val="24"/>
          <w:lang w:val="uk" w:eastAsia="uk"/>
        </w:rPr>
        <w:t xml:space="preserve"> та </w:t>
      </w:r>
      <w:r>
        <w:rPr>
          <w:sz w:val="24"/>
          <w:szCs w:val="24"/>
          <w:lang w:val="uk" w:eastAsia="uk"/>
        </w:rPr>
        <w:t>призначити відповідну терапію.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При лікуванні цефалоспоринами описані випадки медикаментозної гемолітичної анемії, включаючи тяжкі випадки з летальним наслідком. Також повідомляли про виникнення гемолітичної анемії після повторного застосування цефалоспоринів (у тому числі цефіксиму).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Цефіксим слід з обережністю застосовувати пацієнтам зі значними порушеннями функції нирок (див. </w:t>
      </w:r>
      <w:r>
        <w:rPr>
          <w:i/>
          <w:iCs/>
          <w:sz w:val="24"/>
          <w:szCs w:val="24"/>
          <w:lang w:val="uk" w:eastAsia="uk"/>
        </w:rPr>
        <w:t>«Ниркова недостатність»</w:t>
      </w:r>
      <w:r>
        <w:rPr>
          <w:sz w:val="24"/>
          <w:szCs w:val="24"/>
          <w:lang w:val="uk" w:eastAsia="uk"/>
        </w:rPr>
        <w:t xml:space="preserve">).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Як і при застосуванні інших цефалоспоринів, цефіксим може призвести до гострої ниркової недостатності, включаючи тубулоінтерстиціальний нефрит як основний патологічний стан. При виникненні гострої ниркової недостатності застосування цефіксиму слід припинити і призначити відповідну терапію та/або вжити відповідних заходів.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Слід виявляти обережність при призначенні препарату при наявності в анамнезі кровотеч, захворювань шлунково-кишкового тракту, особливо таких як виразковий коліт, регіональний ентерит або коліт на тлі застосування, а також при порушенні функції печінки.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Тривале застосування антибактеріальних лікарських засобів може призвести до росту нечутливих мікроорганізмів та порушення нормальної мікрофлори кишечнику, що може </w:t>
      </w:r>
      <w:r>
        <w:rPr>
          <w:sz w:val="24"/>
          <w:szCs w:val="24"/>
          <w:lang w:val="uk" w:eastAsia="uk"/>
        </w:rPr>
        <w:t xml:space="preserve">призводити до надмірного розмноження </w:t>
      </w:r>
      <w:r>
        <w:rPr>
          <w:i/>
          <w:iCs/>
          <w:sz w:val="24"/>
          <w:szCs w:val="24"/>
          <w:lang w:val="uk" w:eastAsia="uk"/>
        </w:rPr>
        <w:t>Clostridium difficile</w:t>
      </w:r>
      <w:r>
        <w:rPr>
          <w:sz w:val="24"/>
          <w:szCs w:val="24"/>
          <w:lang w:val="uk" w:eastAsia="uk"/>
        </w:rPr>
        <w:t xml:space="preserve"> </w:t>
      </w:r>
      <w:r>
        <w:rPr>
          <w:sz w:val="24"/>
          <w:szCs w:val="24"/>
          <w:lang w:val="uk" w:eastAsia="uk"/>
        </w:rPr>
        <w:t>і розвитку псевдомембранозного коліту.</w:t>
      </w:r>
      <w:r>
        <w:rPr>
          <w:b/>
          <w:bCs/>
          <w:i/>
          <w:iCs/>
          <w:sz w:val="24"/>
          <w:szCs w:val="24"/>
          <w:lang w:val="uk" w:eastAsia="uk"/>
        </w:rPr>
        <w:t xml:space="preserve"> </w:t>
      </w:r>
      <w:r>
        <w:rPr>
          <w:sz w:val="24"/>
          <w:szCs w:val="24"/>
          <w:lang w:val="uk" w:eastAsia="uk"/>
        </w:rPr>
        <w:t xml:space="preserve">При легких формах </w:t>
      </w:r>
      <w:r>
        <w:rPr>
          <w:sz w:val="24"/>
          <w:szCs w:val="24"/>
          <w:lang w:val="uk" w:eastAsia="uk"/>
        </w:rPr>
        <w:t>псевдомембранозного коліту, спричинених застосуванням антибіотика, може бути достатнім припинення застосування лікарського засобу</w:t>
      </w:r>
      <w:r>
        <w:rPr>
          <w:sz w:val="24"/>
          <w:szCs w:val="24"/>
          <w:lang w:val="uk" w:eastAsia="uk"/>
        </w:rPr>
        <w:t>.</w:t>
      </w:r>
      <w:r>
        <w:rPr>
          <w:b/>
          <w:bCs/>
          <w:i/>
          <w:iCs/>
          <w:sz w:val="24"/>
          <w:szCs w:val="24"/>
          <w:lang w:val="uk" w:eastAsia="uk"/>
        </w:rPr>
        <w:t xml:space="preserve"> </w:t>
      </w:r>
      <w:r>
        <w:rPr>
          <w:sz w:val="24"/>
          <w:szCs w:val="24"/>
          <w:lang w:val="uk" w:eastAsia="uk"/>
        </w:rPr>
        <w:t>Якщо симптоми коліту не зменшуються після відміни, слід призначити пероральний прийом ванкоміцину, який є антибіотиком вибору у разі виникнення псевдомембранозного коліту.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При виникненні коліту середнього ступеня тяжкості або тяжкого до лікування необхідно додати електроліти та розчини білків. Слід уникати одночасного застосування лікарських засобів, що зменшують перистальтику кишечнику.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У випадку застосування </w:t>
      </w:r>
      <w:r>
        <w:rPr>
          <w:spacing w:val="-2"/>
          <w:sz w:val="24"/>
          <w:szCs w:val="24"/>
          <w:lang w:val="uk" w:eastAsia="uk"/>
        </w:rPr>
        <w:t xml:space="preserve">цефіксиму </w:t>
      </w:r>
      <w:r>
        <w:rPr>
          <w:sz w:val="24"/>
          <w:szCs w:val="24"/>
          <w:lang w:val="uk" w:eastAsia="uk"/>
        </w:rPr>
        <w:t xml:space="preserve">одночасно з аміноглікозидами, поліміксином В, колістином, петльовими діуретиками (фуросемід, етакринова кислота) у високих дозах необхідно ретельно контролювати функцію нирок. Після тривалого застосування </w:t>
      </w:r>
      <w:r>
        <w:rPr>
          <w:spacing w:val="-2"/>
          <w:sz w:val="24"/>
          <w:szCs w:val="24"/>
          <w:lang w:val="uk" w:eastAsia="uk"/>
        </w:rPr>
        <w:t>цефіксиму</w:t>
      </w:r>
      <w:r>
        <w:rPr>
          <w:sz w:val="24"/>
          <w:szCs w:val="24"/>
          <w:lang w:val="uk" w:eastAsia="uk"/>
        </w:rPr>
        <w:t xml:space="preserve"> слід перевіряти стан функції гемопоезу.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Під час лікування можлива позитивна пряма реакція Кумбса та хибнопозитивний аналіз сечі на глюкозу.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pacing w:val="-2"/>
          <w:sz w:val="24"/>
          <w:szCs w:val="24"/>
          <w:lang w:val="uk" w:eastAsia="uk"/>
        </w:rPr>
        <w:t>Цефалоспорини підвищують токсичність алкоголю, тому при лікуванні цефіксимом не рекомендується вживати алкогольні напої.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i/>
          <w:iCs/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Застосування у період вагітності або годування груддю.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При дослідженні репродуктивної функції на мишах і щурах при введенні тваринам доз, що майже в 400 разів перевищують дозу для людини, не було виявлено випадків впливу на фертильність або порушень у плода, зумовлених застосуванням цефіксиму. У кролика в дозах, що до 4 разів перевищують дозу для людини, не було жодних доказів тератогенного ефекту; була виявлена висока частота абортів і материнської летальності, які є очікуваним наслідком відомої чутливості кроликів до змін популяції мікрофлори кишечнику, спричинених антибіотиками.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Даних про застосування препарату під час вагітності немає. Цефіксим проникає через плаценту.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Не слід застосовувати препарат у період вагітності або годування груддю, крім випадків крайньої необхідності за призначенням лікаря.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i/>
          <w:iCs/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Здатність впливати на швидкість реакції при керуванні автотранспортом або іншими механізмами.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Пацієнтам, у яких при застосуванні препарату Оптицеф виникають побічні реакції з боку центральної нервової системи (наприклад, судоми, запаморочення, порушення свідомості, рухові розлади), слід утриматися від управління автотранспортом або роботи з іншими механізмами.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rStyle w:val="spantlid-translation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i/>
          <w:iCs/>
          <w:sz w:val="24"/>
          <w:szCs w:val="24"/>
          <w:lang w:val="uk" w:eastAsia="uk"/>
        </w:rPr>
        <w:t>Спосіб застосування та дози.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Вживання їжі не впливає на всмоктування цефіксиму. Зазвичай курс лікування становить 7 днів, за необхідності – до 14 днів. При лікуванні неускладнених циститів курс лікування становить 3 дні.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Дорослі та діти віком від 12 років з масою тіла більше 50 кг:</w:t>
      </w:r>
      <w:r>
        <w:rPr>
          <w:sz w:val="24"/>
          <w:szCs w:val="24"/>
          <w:lang w:val="uk" w:eastAsia="uk"/>
        </w:rPr>
        <w:t xml:space="preserve"> рекомендована доза становить 400 мг (одна таблетка) на добу одноразово або 200 мг (половина таблетки) кожні 12 годин залежно від тяжкості захворювання.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Пацієнти літнього віку:</w:t>
      </w:r>
      <w:r>
        <w:rPr>
          <w:sz w:val="24"/>
          <w:szCs w:val="24"/>
          <w:lang w:val="uk" w:eastAsia="uk"/>
        </w:rPr>
        <w:t xml:space="preserve"> призначати препарат у рекомендованій для дорослих дозі. Слід контролювати функцію нирок і скоригувати дозу при тяжкій нирковій недостатності (див. </w:t>
      </w:r>
      <w:r>
        <w:rPr>
          <w:i/>
          <w:iCs/>
          <w:sz w:val="24"/>
          <w:szCs w:val="24"/>
          <w:lang w:val="uk" w:eastAsia="uk"/>
        </w:rPr>
        <w:t>«Ниркова недостатність»</w:t>
      </w:r>
      <w:r>
        <w:rPr>
          <w:sz w:val="24"/>
          <w:szCs w:val="24"/>
          <w:lang w:val="uk" w:eastAsia="uk"/>
        </w:rPr>
        <w:t>).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Ниркова недостатність:</w:t>
      </w:r>
      <w:r>
        <w:rPr>
          <w:sz w:val="24"/>
          <w:szCs w:val="24"/>
          <w:lang w:val="uk" w:eastAsia="uk"/>
        </w:rPr>
        <w:t xml:space="preserve"> цефіксим можна застосовувати при порушенні функції нирок. Для пацієнтів із кліренсом креатиніну 20 мл/хв або вище призначати звичайну дозу і режим дозування. Для пацієнтів із кліренсом креатиніну нижче 20 мл/хв не рекомендується перевищувати дозу 200 мг (половина таблетки) 1 раз на добу. Це також стосується пацієнтів, які знаходяться на постійному амбулаторному перитонеальному діалізі або гемодіалізі.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Діти.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Дітям віком до 12 років рекомендується застосовувати препарат в іншій лікарській формі.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i/>
          <w:iCs/>
          <w:sz w:val="24"/>
          <w:szCs w:val="24"/>
          <w:lang w:val="uk" w:eastAsia="uk"/>
        </w:rPr>
        <w:t>Передозування.</w:t>
      </w:r>
      <w:r>
        <w:rPr>
          <w:sz w:val="24"/>
          <w:szCs w:val="24"/>
          <w:lang w:val="uk" w:eastAsia="uk"/>
        </w:rPr>
        <w:t xml:space="preserve">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Існує ризик енцефалопатії при застосуванні бета-лактамних антибіотиків, включаючи цефіксим, особливо у випадках передозування та ниркової недостатності.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Побічні реакції, зафіксовані при застосуванні препарату в дозах до 2 г у здорових добровольців, не відрізнялися від побічних реакцій, помічених у пацієнтів, які приймали препарат у рекомендованих дозах.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Симптоми:</w:t>
      </w:r>
      <w:r>
        <w:rPr>
          <w:sz w:val="24"/>
          <w:szCs w:val="24"/>
          <w:lang w:val="uk" w:eastAsia="uk"/>
        </w:rPr>
        <w:t xml:space="preserve"> посилення прояву побічних реакцій.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 xml:space="preserve">Лікування: </w:t>
      </w:r>
      <w:r>
        <w:rPr>
          <w:sz w:val="24"/>
          <w:szCs w:val="24"/>
          <w:lang w:val="uk" w:eastAsia="uk"/>
        </w:rPr>
        <w:t>промивання шлунка, симптоматична та підтримуюча терапія. Специфічного антидоту немає. Г</w:t>
      </w:r>
      <w:r>
        <w:rPr>
          <w:sz w:val="24"/>
          <w:szCs w:val="24"/>
          <w:lang w:val="uk" w:eastAsia="uk"/>
        </w:rPr>
        <w:t xml:space="preserve">емодіаліз або перитонеальний діаліз лише незначною мірою сприяє виведенню цефіксиму з організму.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i/>
          <w:iCs/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i/>
          <w:iCs/>
          <w:sz w:val="24"/>
          <w:szCs w:val="24"/>
          <w:lang w:val="uk" w:eastAsia="uk"/>
        </w:rPr>
        <w:t>Побічні реакції.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 xml:space="preserve">Кров і лімфатична система: </w:t>
      </w:r>
      <w:r>
        <w:rPr>
          <w:sz w:val="24"/>
          <w:szCs w:val="24"/>
          <w:lang w:val="uk" w:eastAsia="uk"/>
        </w:rPr>
        <w:t>еозинофілія, гіпереозинофілія, агранулоцитоз, лейкопенія, нейтропенія, гранулоцитопенія, гемолітична анемія, тромбоцитопенія, тромбоцитоз, гіпопротромбінемія, тромбофлебіт, збільшення тромбінового та протромбінового часу, пурпура.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Травна система:</w:t>
      </w:r>
      <w:r>
        <w:rPr>
          <w:sz w:val="24"/>
          <w:szCs w:val="24"/>
          <w:lang w:val="uk" w:eastAsia="uk"/>
        </w:rPr>
        <w:t xml:space="preserve"> спазми у шлунку, біль у животі, діарея*, диспепсія, нудота, блювання, метеоризм, дисбактеріоз, кандидоз слизових оболонок рота, стоматит, глосит.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Печінка та жовчовивідні шляхи:</w:t>
      </w:r>
      <w:r>
        <w:rPr>
          <w:sz w:val="24"/>
          <w:szCs w:val="24"/>
          <w:lang w:val="uk" w:eastAsia="uk"/>
        </w:rPr>
        <w:t xml:space="preserve"> жовтяниця, гепатит, холестаз.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Інфекційні та паразитарні захворювання:</w:t>
      </w:r>
      <w:r>
        <w:rPr>
          <w:sz w:val="24"/>
          <w:szCs w:val="24"/>
          <w:lang w:val="uk" w:eastAsia="uk"/>
        </w:rPr>
        <w:t xml:space="preserve"> псевдомембранозний коліт.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Лабораторні показники:</w:t>
      </w:r>
      <w:r>
        <w:rPr>
          <w:sz w:val="24"/>
          <w:szCs w:val="24"/>
          <w:lang w:val="uk" w:eastAsia="uk"/>
        </w:rPr>
        <w:t xml:space="preserve"> підвищення аспартатамінотрансферази, підвищення аланінамінотрансферази, підвищення білірубіну в крові, підвищення сечовини крові, підвищення сироваткового креатиніну.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Обмін речовин і харчування</w:t>
      </w:r>
      <w:r>
        <w:rPr>
          <w:i/>
          <w:iCs/>
          <w:sz w:val="24"/>
          <w:szCs w:val="24"/>
          <w:lang w:val="uk" w:eastAsia="uk"/>
        </w:rPr>
        <w:t xml:space="preserve">: </w:t>
      </w:r>
      <w:r>
        <w:rPr>
          <w:sz w:val="24"/>
          <w:szCs w:val="24"/>
          <w:lang w:val="uk" w:eastAsia="uk"/>
        </w:rPr>
        <w:t>анорексія (втрата апетиту).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Нервова система:</w:t>
      </w:r>
      <w:r>
        <w:rPr>
          <w:sz w:val="24"/>
          <w:szCs w:val="24"/>
          <w:lang w:val="uk" w:eastAsia="uk"/>
        </w:rPr>
        <w:t xml:space="preserve"> головний біль, запаморочення, дисфорія; зафіксовано випадки судом при застосуванні цефалоспоринів, включаючи цефіксим (частота невідома).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Бета-лактами, включаючи цефіксим, збільшують у пацієнтів ризик енцефалопатії (що може включати судоми, сплутаність свідомості, рухові розлади, порушення свідомості), особливо у випадках передозування та ниркової недостатності</w:t>
      </w:r>
      <w:r>
        <w:rPr>
          <w:sz w:val="24"/>
          <w:szCs w:val="24"/>
          <w:lang w:val="uk" w:eastAsia="uk"/>
        </w:rPr>
        <w:t xml:space="preserve"> (частота невідома).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Органи слуху:</w:t>
      </w:r>
      <w:r>
        <w:rPr>
          <w:sz w:val="24"/>
          <w:szCs w:val="24"/>
          <w:lang w:val="uk" w:eastAsia="uk"/>
        </w:rPr>
        <w:t xml:space="preserve"> втрата слуху.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Дихальна система, органи грудної клітки та середостіння:</w:t>
      </w:r>
      <w:r>
        <w:rPr>
          <w:sz w:val="24"/>
          <w:szCs w:val="24"/>
          <w:lang w:val="uk" w:eastAsia="uk"/>
        </w:rPr>
        <w:t xml:space="preserve"> диспное.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Нирки і сечовивідні шляхи:</w:t>
      </w:r>
      <w:r>
        <w:rPr>
          <w:sz w:val="24"/>
          <w:szCs w:val="24"/>
          <w:lang w:val="uk" w:eastAsia="uk"/>
        </w:rPr>
        <w:t xml:space="preserve"> гостра ниркова недостатність, включаючи тубулоінтерстиціальний нефрит як основний патологічний стан, гематурія.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Імунна система</w:t>
      </w:r>
      <w:r>
        <w:rPr>
          <w:i/>
          <w:iCs/>
          <w:sz w:val="24"/>
          <w:szCs w:val="24"/>
          <w:lang w:val="uk" w:eastAsia="uk"/>
        </w:rPr>
        <w:t>:</w:t>
      </w:r>
      <w:r>
        <w:rPr>
          <w:sz w:val="24"/>
          <w:szCs w:val="24"/>
          <w:lang w:val="uk" w:eastAsia="uk"/>
        </w:rPr>
        <w:t xml:space="preserve"> </w:t>
      </w:r>
      <w:r>
        <w:rPr>
          <w:sz w:val="24"/>
          <w:szCs w:val="24"/>
          <w:lang w:val="uk" w:eastAsia="uk"/>
        </w:rPr>
        <w:t xml:space="preserve">анафілактична реакція, реакції, подібні до сироваткової хвороби, медикаментозна гарячка, артралгія.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Шкіра та підшкірна клітковина:</w:t>
      </w:r>
      <w:r>
        <w:rPr>
          <w:sz w:val="24"/>
          <w:szCs w:val="24"/>
          <w:lang w:val="uk" w:eastAsia="uk"/>
        </w:rPr>
        <w:t xml:space="preserve"> кропив’янка, шкірні висипання, свербіж шкіри, гарячка, набряк обличчя, ангіоневротичний набряк, синдром медикаментозних висипань з еозинофілією та системними проявами (</w:t>
      </w:r>
      <w:r>
        <w:rPr>
          <w:sz w:val="24"/>
          <w:szCs w:val="24"/>
          <w:lang w:val="en-US" w:eastAsia="en-US"/>
        </w:rPr>
        <w:t>DRESS</w:t>
      </w:r>
      <w:r>
        <w:rPr>
          <w:sz w:val="24"/>
          <w:szCs w:val="24"/>
          <w:lang w:val="uk" w:eastAsia="uk"/>
        </w:rPr>
        <w:t xml:space="preserve">), синдром Стівенса-Джонсона, токсичний епідермальний некроліз, мультиформна еритема.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Репродуктивна система і молочні залози:</w:t>
      </w:r>
      <w:r>
        <w:rPr>
          <w:sz w:val="24"/>
          <w:szCs w:val="24"/>
          <w:lang w:val="uk" w:eastAsia="uk"/>
        </w:rPr>
        <w:t xml:space="preserve"> генітальний свербіж, </w:t>
      </w:r>
      <w:r>
        <w:rPr>
          <w:sz w:val="24"/>
          <w:szCs w:val="24"/>
          <w:lang w:val="ru" w:eastAsia="ru"/>
        </w:rPr>
        <w:t xml:space="preserve">вагініт, спричинений </w:t>
      </w:r>
      <w:r>
        <w:rPr>
          <w:i/>
          <w:iCs/>
          <w:sz w:val="24"/>
          <w:szCs w:val="24"/>
          <w:lang w:val="en-US" w:eastAsia="en-US"/>
        </w:rPr>
        <w:t>Candida</w:t>
      </w:r>
      <w:r>
        <w:rPr>
          <w:sz w:val="24"/>
          <w:szCs w:val="24"/>
          <w:lang w:val="uk" w:eastAsia="uk"/>
        </w:rPr>
        <w:t>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i/>
          <w:iCs/>
          <w:sz w:val="24"/>
          <w:szCs w:val="24"/>
          <w:lang w:val="uk" w:eastAsia="uk"/>
        </w:rPr>
        <w:t>Загальні розлади:</w:t>
      </w:r>
      <w:r>
        <w:rPr>
          <w:sz w:val="24"/>
          <w:szCs w:val="24"/>
          <w:lang w:val="uk" w:eastAsia="uk"/>
        </w:rPr>
        <w:t xml:space="preserve"> </w:t>
      </w:r>
      <w:r>
        <w:rPr>
          <w:sz w:val="24"/>
          <w:szCs w:val="24"/>
          <w:lang w:val="uk" w:eastAsia="uk"/>
        </w:rPr>
        <w:t>слабкість, втомлюваність, підвищене потовиділення, запалення слизових оболонок.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* Діарея зазвичай пов</w:t>
      </w:r>
      <w:r>
        <w:rPr>
          <w:sz w:val="24"/>
          <w:szCs w:val="24"/>
          <w:lang w:val="uk" w:eastAsia="uk"/>
        </w:rPr>
        <w:t>’</w:t>
      </w:r>
      <w:r>
        <w:rPr>
          <w:sz w:val="24"/>
          <w:szCs w:val="24"/>
          <w:lang w:val="uk" w:eastAsia="uk"/>
        </w:rPr>
        <w:t>язана із застосуванням препарату у більш високих дозах. Повідомляли про випадки діареї від помірного до тяжкого ступеня. При виникненні тяжкої діареї застосування цефіксиму необхідно припинити.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i/>
          <w:iCs/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i/>
          <w:iCs/>
          <w:sz w:val="24"/>
          <w:szCs w:val="24"/>
          <w:lang w:val="uk" w:eastAsia="uk"/>
        </w:rPr>
        <w:t>Термін придатності.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3 роки. 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>Умови зберігання.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 xml:space="preserve">В оригінальній упаковці при </w:t>
      </w:r>
      <w:r>
        <w:rPr>
          <w:sz w:val="24"/>
          <w:szCs w:val="24"/>
          <w:lang w:val="uk" w:eastAsia="uk"/>
        </w:rPr>
        <w:t>температурі не вище 25 °С.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Зберігати у недоступному для дітей місці.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>Упаковка.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По 7 таблеток у блістері,</w:t>
      </w:r>
      <w:r>
        <w:rPr>
          <w:b/>
          <w:bCs/>
          <w:sz w:val="24"/>
          <w:szCs w:val="24"/>
          <w:lang w:val="uk" w:eastAsia="uk"/>
        </w:rPr>
        <w:t xml:space="preserve"> </w:t>
      </w:r>
      <w:r>
        <w:rPr>
          <w:sz w:val="24"/>
          <w:szCs w:val="24"/>
          <w:lang w:val="uk" w:eastAsia="uk"/>
        </w:rPr>
        <w:t>по 1 або 2 блістери в пачці.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>Категорія відпуску.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За рецептом.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> 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>Виробник</w:t>
      </w:r>
      <w:r>
        <w:rPr>
          <w:b/>
          <w:bCs/>
          <w:spacing w:val="-1"/>
          <w:sz w:val="24"/>
          <w:szCs w:val="24"/>
          <w:lang w:val="uk" w:eastAsia="uk"/>
        </w:rPr>
        <w:t>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Товариство з обмеженою відповідальністю «Агрофарм».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Товариство з обмеженою відповідальністю «Натур+».</w:t>
      </w:r>
    </w:p>
    <w:p>
      <w:pPr>
        <w:pStyle w:val="pMsoNormal"/>
        <w:spacing w:before="24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b/>
          <w:bCs/>
          <w:sz w:val="24"/>
          <w:szCs w:val="24"/>
          <w:lang w:val="uk" w:eastAsia="uk"/>
        </w:rPr>
        <w:t>Місцезнаходження</w:t>
      </w:r>
      <w:r>
        <w:rPr>
          <w:b/>
          <w:bCs/>
          <w:sz w:val="24"/>
          <w:szCs w:val="24"/>
          <w:lang w:val="uk" w:eastAsia="uk"/>
        </w:rPr>
        <w:t xml:space="preserve"> виробника та адреса місця провадження його діяльності</w:t>
      </w:r>
      <w:r>
        <w:rPr>
          <w:b/>
          <w:bCs/>
          <w:sz w:val="24"/>
          <w:szCs w:val="24"/>
          <w:lang w:val="uk" w:eastAsia="uk"/>
        </w:rPr>
        <w:t>.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Україна, 08200, Київська область, м. Ірпінь, вул. Центральна, 113-А</w:t>
      </w:r>
    </w:p>
    <w:p>
      <w:pPr>
        <w:pStyle w:val="pMsoNormal"/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4"/>
          <w:szCs w:val="24"/>
          <w:lang w:val="uk" w:eastAsia="uk"/>
        </w:rPr>
        <w:t>Україна, 08200, Київська область, м. Ірпінь, вул. Шевченка Тараса, 3.</w:t>
      </w:r>
    </w:p>
    <w:sectPr>
      <w:pgSz w:w="11906" w:h="16838"/>
      <w:pgMar w:top="1134" w:right="746" w:bottom="1134" w:left="1701" w:header="720" w:footer="720"/>
      <w:pgNumType w:fmt="decimal" w:chapStyle="0" w:chapSep="hyphen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 w:line="360" w:lineRule="auto"/>
      <w:jc w:val="both"/>
      <w:outlineLvl w:val="0"/>
    </w:pPr>
    <w:rPr>
      <w:rFonts w:ascii="Arial" w:eastAsia="Arial" w:hAnsi="Arial" w:cs="Arial"/>
      <w:b/>
      <w:bCs/>
      <w:i w:val="0"/>
      <w:color w:val="000000"/>
      <w:kern w:val="3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jc w:val="both"/>
      <w:outlineLvl w:val="2"/>
    </w:pPr>
    <w:rPr>
      <w:rFonts w:ascii="Times New Roman" w:eastAsia="Times New Roman" w:hAnsi="Times New Roman" w:cs="Times New Roman"/>
      <w:b/>
      <w:bCs/>
      <w:i w:val="0"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p"/>
    <w:pPr>
      <w:spacing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">
    <w:name w:val="p"/>
    <w:basedOn w:val="Normal"/>
    <w:rPr>
      <w:rFonts w:ascii="Verdana" w:eastAsia="Verdana" w:hAnsi="Verdana" w:cs="Verdana"/>
      <w:color w:val="000000"/>
      <w:sz w:val="15"/>
      <w:szCs w:val="15"/>
    </w:rPr>
  </w:style>
  <w:style w:type="character" w:customStyle="1" w:styleId="spantlid-translation">
    <w:name w:val="span_tlid-translatio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cp:revision>0</cp:revision>
</cp:coreProperties>
</file>